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技术</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安检耗材采购项目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采购内容及参数</w:t>
            </w:r>
          </w:p>
        </w:tc>
        <w:tc>
          <w:tcPr>
            <w:tcW w:w="6329" w:type="dxa"/>
            <w:noWrap w:val="0"/>
            <w:vAlign w:val="center"/>
          </w:tcPr>
          <w:p>
            <w:pPr>
              <w:pStyle w:val="4"/>
              <w:numPr>
                <w:ilvl w:val="0"/>
                <w:numId w:val="1"/>
              </w:numPr>
              <w:spacing w:before="183" w:line="219" w:lineRule="auto"/>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多用取用片100片/盒，特氟龙材质抗高温，取样试纸多次使用不易变形、破损。采购数量100盒。</w:t>
            </w:r>
          </w:p>
          <w:p>
            <w:pPr>
              <w:pStyle w:val="4"/>
              <w:numPr>
                <w:ilvl w:val="0"/>
                <w:numId w:val="1"/>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多用校准片25片/盒，特氟龙材质抗高温，密封冷藏保存有效期不少于6个月。采购数量50盒。</w:t>
            </w:r>
          </w:p>
          <w:p>
            <w:pPr>
              <w:pStyle w:val="4"/>
              <w:numPr>
                <w:ilvl w:val="0"/>
                <w:numId w:val="1"/>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防爆标定笔（威视），密封冷藏保存有效期不少于6个月。采购数量2支。</w:t>
            </w:r>
          </w:p>
          <w:p>
            <w:pPr>
              <w:pStyle w:val="4"/>
              <w:numPr>
                <w:ilvl w:val="0"/>
                <w:numId w:val="1"/>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IT3R阴性掺杂物，密封冷藏保持有效期不少于6个月。采购数量7根。</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所提供报价包含百分之十三增值税</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bookmarkStart w:id="0" w:name="_GoBack"/>
      <w:bookmarkEnd w:id="0"/>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w:t>
      </w:r>
      <w:r>
        <w:rPr>
          <w:rFonts w:hint="eastAsia" w:ascii="仿宋" w:hAnsi="仿宋" w:eastAsia="仿宋"/>
          <w:sz w:val="24"/>
          <w:szCs w:val="32"/>
          <w:lang w:eastAsia="zh-CN"/>
        </w:rPr>
        <w:t>（</w:t>
      </w:r>
      <w:r>
        <w:rPr>
          <w:rFonts w:hint="eastAsia" w:ascii="仿宋" w:hAnsi="仿宋" w:eastAsia="仿宋"/>
          <w:sz w:val="24"/>
          <w:szCs w:val="32"/>
          <w:lang w:val="en-US" w:eastAsia="zh-CN"/>
        </w:rPr>
        <w:t>下浮比例</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招标代理结束前</w:t>
      </w:r>
      <w:r>
        <w:rPr>
          <w:rFonts w:hint="eastAsia" w:ascii="仿宋" w:hAnsi="仿宋" w:eastAsia="仿宋"/>
          <w:sz w:val="24"/>
          <w:szCs w:val="32"/>
        </w:rPr>
        <w:t>完成相应工作及服务工作。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1FEC"/>
    <w:multiLevelType w:val="singleLevel"/>
    <w:tmpl w:val="197E1F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5CCE4A61"/>
    <w:rsid w:val="5CCE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2024-01-10T01:58:00Z</dcterms:created>
  <dc:creator>程露</dc:creator>
  <cp:lastModifiedBy>程露</cp:lastModifiedBy>
  <dcterms:modified xsi:type="dcterms:W3CDTF">2024-01-10T01:59:42Z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159CD5AE2B834B7B8D401F3C49901E22_11</vt:lpwstr>
  </property>
</Properties>
</file>