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技术</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财务软件升级项目（用友软件）</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采购内容及参数</w:t>
            </w:r>
          </w:p>
        </w:tc>
        <w:tc>
          <w:tcPr>
            <w:tcW w:w="6329" w:type="dxa"/>
            <w:noWrap w:val="0"/>
            <w:vAlign w:val="center"/>
          </w:tcPr>
          <w:p>
            <w:pPr>
              <w:pStyle w:val="4"/>
              <w:numPr>
                <w:ilvl w:val="0"/>
                <w:numId w:val="0"/>
              </w:numPr>
              <w:spacing w:before="183" w:line="219" w:lineRule="auto"/>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现用财务软件用友U8（13.0）升级到用友U8（18.0）版。</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所提供报软件升级需是厂家授权的升级许可</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升级服务的相关一切费用。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合同签订后30个日内</w:t>
      </w:r>
      <w:r>
        <w:rPr>
          <w:rFonts w:hint="eastAsia" w:ascii="仿宋" w:hAnsi="仿宋" w:eastAsia="仿宋"/>
          <w:sz w:val="24"/>
          <w:szCs w:val="32"/>
        </w:rPr>
        <w:t>完成相应工作及服务工作。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违约：我司未按合同约定时间完成代理工作，则我司按每逾期一日向采购人支付100元的违约金，该违约金采购人可从任何应付或应退还的款项中扣除。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规格型号</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val="zh-CN"/>
        </w:rPr>
      </w:pPr>
    </w:p>
    <w:p>
      <w:pPr>
        <w:spacing w:line="360" w:lineRule="auto"/>
        <w:rPr>
          <w:rFonts w:hint="eastAsia" w:ascii="仿宋" w:hAnsi="仿宋" w:eastAsia="仿宋"/>
          <w:sz w:val="24"/>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0A4F393D"/>
    <w:rsid w:val="0A4F3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2024-04-09T06:52:00Z</dcterms:created>
  <dc:creator>程露</dc:creator>
  <cp:lastModifiedBy>程露</cp:lastModifiedBy>
  <dcterms:modified xsi:type="dcterms:W3CDTF">2024-04-09T06:53:21Z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E82D1A894ABA4D9FB9CC4C12D96E6B26_11</vt:lpwstr>
  </property>
</Properties>
</file>