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手持式夜视仪</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pPr>
              <w:pStyle w:val="4"/>
              <w:numPr>
                <w:ilvl w:val="0"/>
                <w:numId w:val="1"/>
              </w:numPr>
              <w:spacing w:before="183" w:line="219" w:lineRule="auto"/>
              <w:jc w:val="left"/>
              <w:rPr>
                <w:rFonts w:hint="eastAsia" w:ascii="仿宋" w:hAnsi="仿宋" w:eastAsia="仿宋" w:cs="仿宋"/>
                <w:spacing w:val="7"/>
              </w:rPr>
            </w:pPr>
            <w:r>
              <w:rPr>
                <w:rFonts w:hint="eastAsia" w:ascii="仿宋" w:hAnsi="仿宋" w:eastAsia="仿宋" w:cs="仿宋"/>
                <w:spacing w:val="7"/>
              </w:rPr>
              <w:t>全彩色0.4寸高清显示屏，分辨率1280×960</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1"/>
              </w:rPr>
              <w:t>可扩展性设计，支持外接显示屏、激光测距机各种配件</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rPr>
              <w:t>IP</w:t>
            </w:r>
            <w:r>
              <w:rPr>
                <w:rFonts w:hint="eastAsia" w:ascii="仿宋" w:hAnsi="仿宋" w:eastAsia="仿宋" w:cs="仿宋"/>
                <w:spacing w:val="1"/>
              </w:rPr>
              <w:t>67</w:t>
            </w:r>
            <w:r>
              <w:rPr>
                <w:rFonts w:hint="eastAsia" w:ascii="仿宋" w:hAnsi="仿宋" w:eastAsia="仿宋" w:cs="仿宋"/>
                <w:spacing w:val="32"/>
                <w:w w:val="101"/>
              </w:rPr>
              <w:t xml:space="preserve"> </w:t>
            </w:r>
            <w:r>
              <w:rPr>
                <w:rFonts w:hint="eastAsia" w:ascii="仿宋" w:hAnsi="仿宋" w:eastAsia="仿宋" w:cs="仿宋"/>
                <w:spacing w:val="1"/>
              </w:rPr>
              <w:t>超强防护等级</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7"/>
                <w:lang w:val="en-US" w:eastAsia="zh-CN"/>
              </w:rPr>
              <w:t>探测器类型：</w:t>
            </w:r>
            <w:r>
              <w:rPr>
                <w:rFonts w:hint="eastAsia" w:ascii="仿宋" w:hAnsi="仿宋" w:eastAsia="仿宋" w:cs="仿宋"/>
              </w:rPr>
              <w:t>640×512@17μm,氧化钒非制冷</w:t>
            </w:r>
            <w:r>
              <w:rPr>
                <w:rFonts w:hint="eastAsia" w:ascii="仿宋" w:hAnsi="仿宋" w:eastAsia="仿宋" w:cs="仿宋"/>
                <w:lang w:eastAsia="zh-CN"/>
              </w:rPr>
              <w:t>。</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2"/>
              </w:rPr>
              <w:t>工作波段</w:t>
            </w:r>
            <w:r>
              <w:rPr>
                <w:rFonts w:hint="eastAsia" w:ascii="仿宋" w:hAnsi="仿宋" w:eastAsia="仿宋" w:cs="仿宋"/>
                <w:spacing w:val="2"/>
                <w:lang w:eastAsia="zh-CN"/>
              </w:rPr>
              <w:t>：</w:t>
            </w:r>
            <w:r>
              <w:rPr>
                <w:rFonts w:hint="eastAsia" w:ascii="仿宋" w:hAnsi="仿宋" w:eastAsia="仿宋" w:cs="仿宋"/>
                <w:spacing w:val="-2"/>
              </w:rPr>
              <w:t>8μm～14μm</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1"/>
              </w:rPr>
              <w:t>NETD</w:t>
            </w:r>
            <w:r>
              <w:rPr>
                <w:rFonts w:hint="eastAsia" w:ascii="仿宋" w:hAnsi="仿宋" w:eastAsia="仿宋" w:cs="仿宋"/>
                <w:spacing w:val="-5"/>
              </w:rPr>
              <w:t>≤40mk</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5"/>
                <w:lang w:val="en-US" w:eastAsia="zh-CN"/>
              </w:rPr>
              <w:t>镜头：焦距</w:t>
            </w:r>
            <w:r>
              <w:rPr>
                <w:rFonts w:hint="eastAsia" w:ascii="仿宋" w:hAnsi="仿宋" w:eastAsia="仿宋" w:cs="仿宋"/>
                <w:spacing w:val="-2"/>
              </w:rPr>
              <w:t>50mm/F1.2</w:t>
            </w:r>
            <w:r>
              <w:rPr>
                <w:rFonts w:hint="eastAsia" w:ascii="仿宋" w:hAnsi="仿宋" w:eastAsia="仿宋" w:cs="仿宋"/>
                <w:spacing w:val="-2"/>
                <w:lang w:eastAsia="zh-CN"/>
              </w:rPr>
              <w:t>，</w:t>
            </w:r>
            <w:r>
              <w:rPr>
                <w:rFonts w:hint="eastAsia" w:ascii="仿宋" w:hAnsi="仿宋" w:eastAsia="仿宋" w:cs="仿宋"/>
                <w:spacing w:val="-2"/>
                <w:lang w:val="en-US" w:eastAsia="zh-CN"/>
              </w:rPr>
              <w:t>调焦方式：手动调焦，视场角：</w:t>
            </w:r>
            <w:r>
              <w:rPr>
                <w:rFonts w:hint="eastAsia" w:ascii="仿宋" w:hAnsi="仿宋" w:eastAsia="仿宋" w:cs="仿宋"/>
                <w:spacing w:val="-2"/>
              </w:rPr>
              <w:t>8.8°×6.6°</w:t>
            </w:r>
            <w:r>
              <w:rPr>
                <w:rFonts w:hint="eastAsia" w:ascii="仿宋" w:hAnsi="仿宋" w:eastAsia="仿宋" w:cs="仿宋"/>
                <w:spacing w:val="-2"/>
                <w:lang w:eastAsia="zh-CN"/>
              </w:rPr>
              <w:t>。</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2"/>
                <w:lang w:val="en-US" w:eastAsia="zh-CN"/>
              </w:rPr>
              <w:t>图像处理：</w:t>
            </w:r>
            <w:r>
              <w:rPr>
                <w:rFonts w:hint="eastAsia" w:ascii="仿宋" w:hAnsi="仿宋" w:eastAsia="仿宋" w:cs="仿宋"/>
                <w:spacing w:val="4"/>
              </w:rPr>
              <w:t>帧频</w:t>
            </w:r>
            <w:r>
              <w:rPr>
                <w:rFonts w:hint="eastAsia" w:ascii="仿宋" w:hAnsi="仿宋" w:eastAsia="仿宋" w:cs="仿宋"/>
                <w:spacing w:val="-3"/>
              </w:rPr>
              <w:t>50Hz</w:t>
            </w:r>
            <w:r>
              <w:rPr>
                <w:rFonts w:hint="eastAsia" w:ascii="仿宋" w:hAnsi="仿宋" w:eastAsia="仿宋" w:cs="仿宋"/>
                <w:spacing w:val="-3"/>
                <w:lang w:eastAsia="zh-CN"/>
              </w:rPr>
              <w:t>，</w:t>
            </w:r>
            <w:r>
              <w:rPr>
                <w:rFonts w:hint="eastAsia" w:ascii="仿宋" w:hAnsi="仿宋" w:eastAsia="仿宋" w:cs="仿宋"/>
                <w:spacing w:val="-3"/>
                <w:lang w:val="en-US" w:eastAsia="zh-CN"/>
              </w:rPr>
              <w:t>电子放大：</w:t>
            </w:r>
            <w:r>
              <w:rPr>
                <w:rFonts w:hint="eastAsia" w:ascii="仿宋" w:hAnsi="仿宋" w:eastAsia="仿宋" w:cs="仿宋"/>
                <w:spacing w:val="1"/>
              </w:rPr>
              <w:t>1X~8X连续放大</w:t>
            </w:r>
            <w:r>
              <w:rPr>
                <w:rFonts w:hint="eastAsia" w:ascii="仿宋" w:hAnsi="仿宋" w:eastAsia="仿宋" w:cs="仿宋"/>
                <w:spacing w:val="1"/>
                <w:lang w:eastAsia="zh-CN"/>
              </w:rPr>
              <w:t>，</w:t>
            </w:r>
            <w:r>
              <w:rPr>
                <w:rFonts w:hint="eastAsia" w:ascii="仿宋" w:hAnsi="仿宋" w:eastAsia="仿宋" w:cs="仿宋"/>
                <w:spacing w:val="1"/>
                <w:lang w:val="en-US" w:eastAsia="zh-CN"/>
              </w:rPr>
              <w:t>调色板：</w:t>
            </w:r>
            <w:r>
              <w:rPr>
                <w:rFonts w:hint="eastAsia" w:ascii="仿宋" w:hAnsi="仿宋" w:eastAsia="仿宋" w:cs="仿宋"/>
              </w:rPr>
              <w:t>白热、黑热、铁红、蓝热、可调红热</w:t>
            </w:r>
            <w:r>
              <w:rPr>
                <w:rFonts w:hint="eastAsia" w:ascii="仿宋" w:hAnsi="仿宋" w:eastAsia="仿宋" w:cs="仿宋"/>
                <w:lang w:eastAsia="zh-CN"/>
              </w:rPr>
              <w:t>，</w:t>
            </w:r>
            <w:r>
              <w:rPr>
                <w:rFonts w:hint="eastAsia" w:ascii="仿宋" w:hAnsi="仿宋" w:eastAsia="仿宋" w:cs="仿宋"/>
                <w:lang w:val="en-US" w:eastAsia="zh-CN"/>
              </w:rPr>
              <w:t>场景模式：</w:t>
            </w:r>
            <w:r>
              <w:rPr>
                <w:rFonts w:hint="eastAsia" w:ascii="仿宋" w:hAnsi="仿宋" w:eastAsia="仿宋" w:cs="仿宋"/>
                <w:spacing w:val="-1"/>
              </w:rPr>
              <w:t>支持增强，高亮，自然三种场景模式</w:t>
            </w:r>
            <w:r>
              <w:rPr>
                <w:rFonts w:hint="eastAsia" w:ascii="仿宋" w:hAnsi="仿宋" w:eastAsia="仿宋" w:cs="仿宋"/>
                <w:spacing w:val="-1"/>
                <w:lang w:eastAsia="zh-CN"/>
              </w:rPr>
              <w:t>。</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1"/>
                <w:lang w:val="en-US" w:eastAsia="zh-CN"/>
              </w:rPr>
              <w:t>电源系统：内置电池容量不低于6000</w:t>
            </w:r>
            <w:r>
              <w:rPr>
                <w:rFonts w:hint="eastAsia" w:ascii="仿宋" w:hAnsi="仿宋" w:eastAsia="仿宋" w:cs="仿宋"/>
              </w:rPr>
              <w:t>mah</w:t>
            </w:r>
            <w:r>
              <w:rPr>
                <w:rFonts w:hint="eastAsia" w:ascii="仿宋" w:hAnsi="仿宋" w:eastAsia="仿宋" w:cs="仿宋"/>
                <w:lang w:val="en-US" w:eastAsia="zh-CN"/>
              </w:rPr>
              <w:t xml:space="preserve"> 连续工作时间</w:t>
            </w:r>
            <w:r>
              <w:rPr>
                <w:rFonts w:hint="eastAsia" w:ascii="仿宋" w:hAnsi="仿宋" w:eastAsia="仿宋" w:cs="仿宋"/>
                <w:spacing w:val="-2"/>
              </w:rPr>
              <w:t>≥5h</w:t>
            </w:r>
            <w:r>
              <w:rPr>
                <w:rFonts w:hint="eastAsia" w:ascii="仿宋" w:hAnsi="仿宋" w:eastAsia="仿宋" w:cs="仿宋"/>
                <w:spacing w:val="-2"/>
                <w:lang w:eastAsia="zh-CN"/>
              </w:rPr>
              <w:t>。</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2"/>
                <w:lang w:val="en-US" w:eastAsia="zh-CN"/>
              </w:rPr>
              <w:t>重量不超过560克，尺寸不大于</w:t>
            </w:r>
            <w:r>
              <w:rPr>
                <w:rFonts w:hint="eastAsia" w:ascii="仿宋" w:hAnsi="仿宋" w:eastAsia="仿宋" w:cs="仿宋"/>
                <w:spacing w:val="-1"/>
              </w:rPr>
              <w:t>214mm×65mm×71mm</w:t>
            </w:r>
            <w:r>
              <w:rPr>
                <w:rFonts w:hint="eastAsia" w:ascii="仿宋" w:hAnsi="仿宋" w:eastAsia="仿宋" w:cs="仿宋"/>
                <w:spacing w:val="-1"/>
                <w:lang w:eastAsia="zh-CN"/>
              </w:rPr>
              <w:t>，</w:t>
            </w:r>
            <w:r>
              <w:rPr>
                <w:rFonts w:hint="eastAsia" w:ascii="仿宋" w:hAnsi="仿宋" w:eastAsia="仿宋" w:cs="仿宋"/>
                <w:spacing w:val="-1"/>
                <w:lang w:val="en-US" w:eastAsia="zh-CN"/>
              </w:rPr>
              <w:t>内存卡不小于16GB、</w:t>
            </w:r>
            <w:r>
              <w:rPr>
                <w:rFonts w:hint="eastAsia" w:ascii="仿宋" w:hAnsi="仿宋" w:eastAsia="仿宋" w:cs="仿宋"/>
              </w:rPr>
              <w:t>TYPE C(USB 2.0标准)接口，可充电，可存取数据</w:t>
            </w:r>
            <w:r>
              <w:rPr>
                <w:rFonts w:hint="eastAsia" w:ascii="仿宋" w:hAnsi="仿宋" w:eastAsia="仿宋" w:cs="仿宋"/>
                <w:lang w:val="en-US" w:eastAsia="zh-CN"/>
              </w:rPr>
              <w:t>.</w:t>
            </w:r>
            <w:r>
              <w:rPr>
                <w:rFonts w:hint="eastAsia" w:ascii="仿宋" w:hAnsi="仿宋" w:eastAsia="仿宋" w:cs="仿宋"/>
                <w:spacing w:val="1"/>
              </w:rPr>
              <w:t>支持皮卡丁尼扩展</w:t>
            </w:r>
          </w:p>
          <w:p>
            <w:pPr>
              <w:pStyle w:val="4"/>
              <w:numPr>
                <w:ilvl w:val="0"/>
                <w:numId w:val="1"/>
              </w:numPr>
              <w:spacing w:before="183" w:line="219" w:lineRule="auto"/>
              <w:jc w:val="left"/>
              <w:rPr>
                <w:rFonts w:hint="eastAsia" w:ascii="仿宋" w:hAnsi="仿宋" w:eastAsia="仿宋" w:cs="仿宋"/>
                <w:spacing w:val="7"/>
                <w:lang w:val="en-US" w:eastAsia="zh-CN"/>
              </w:rPr>
            </w:pPr>
            <w:r>
              <w:rPr>
                <w:rFonts w:hint="eastAsia" w:ascii="仿宋" w:hAnsi="仿宋" w:eastAsia="仿宋" w:cs="仿宋"/>
                <w:spacing w:val="7"/>
                <w:lang w:val="en-US" w:eastAsia="zh-CN"/>
              </w:rPr>
              <w:t>探测距离：探测目标为人时不低于2000m,识别距离不小于1000m.</w:t>
            </w:r>
          </w:p>
          <w:p>
            <w:pPr>
              <w:pStyle w:val="4"/>
              <w:numPr>
                <w:ilvl w:val="0"/>
                <w:numId w:val="1"/>
              </w:numPr>
              <w:spacing w:before="183" w:line="219" w:lineRule="auto"/>
              <w:jc w:val="left"/>
              <w:rPr>
                <w:rFonts w:hint="default"/>
                <w:spacing w:val="7"/>
                <w:lang w:val="en-US" w:eastAsia="zh-CN"/>
              </w:rPr>
            </w:pPr>
            <w:r>
              <w:rPr>
                <w:rFonts w:hint="eastAsia" w:ascii="仿宋" w:hAnsi="仿宋" w:eastAsia="仿宋" w:cs="仿宋"/>
                <w:kern w:val="2"/>
                <w:sz w:val="24"/>
                <w:szCs w:val="28"/>
                <w:lang w:val="en-US" w:eastAsia="zh-CN" w:bidi="ar-SA"/>
              </w:rPr>
              <w:t>提供电源适配器、USB线、Micro HDMI视频线、镜头盖、手腕带、肩带、 内衬包、等附件</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1、需提供增值税专用发票。2、质保期不少于1年，如发生质量问题，供应商免费提供维修服务，如维修不能恢复正常使用的，供应商应免费退换货。</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20</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lang w:val="zh-CN" w:eastAsia="zh-CN"/>
        </w:rPr>
      </w:pPr>
    </w:p>
    <w:p>
      <w:pPr>
        <w:spacing w:line="360" w:lineRule="auto"/>
        <w:rPr>
          <w:rFonts w:hint="eastAsia" w:ascii="仿宋" w:hAnsi="仿宋" w:eastAsia="仿宋"/>
          <w:sz w:val="24"/>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D8424"/>
    <w:multiLevelType w:val="singleLevel"/>
    <w:tmpl w:val="98DD842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468F1AD4"/>
    <w:rsid w:val="468F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2024-05-13T07:47:00Z</dcterms:created>
  <dc:creator>程露</dc:creator>
  <cp:lastModifiedBy>程露</cp:lastModifiedBy>
  <dcterms:modified xsi:type="dcterms:W3CDTF">2024-05-13T07:51:28Z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D369EF1EB17B4D769BA8C06673CFCB40_11</vt:lpwstr>
  </property>
</Properties>
</file>