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22981">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cstheme="minorEastAsia"/>
          <w:b/>
          <w:bCs/>
          <w:sz w:val="24"/>
          <w:szCs w:val="32"/>
          <w:lang w:val="en-US" w:eastAsia="zh-CN"/>
        </w:rPr>
        <w:t>5</w:t>
      </w:r>
      <w:r>
        <w:rPr>
          <w:rFonts w:hint="eastAsia" w:asciiTheme="minorEastAsia" w:hAnsiTheme="minorEastAsia" w:eastAsiaTheme="minorEastAsia" w:cstheme="minorEastAsia"/>
          <w:b/>
          <w:bCs/>
          <w:sz w:val="24"/>
          <w:szCs w:val="32"/>
          <w:lang w:val="en-US" w:eastAsia="zh-CN"/>
        </w:rPr>
        <w:t>：</w:t>
      </w:r>
    </w:p>
    <w:p w14:paraId="44DB5114">
      <w:pPr>
        <w:spacing w:line="360" w:lineRule="auto"/>
        <w:jc w:val="center"/>
        <w:rPr>
          <w:rFonts w:hint="default" w:ascii="宋体" w:hAnsi="宋体" w:eastAsia="宋体" w:cs="Times New Roman"/>
          <w:color w:val="auto"/>
          <w:sz w:val="32"/>
          <w:szCs w:val="32"/>
          <w:highlight w:val="none"/>
          <w:lang w:val="en-US" w:eastAsia="zh-CN"/>
        </w:rPr>
      </w:pPr>
      <w:r>
        <w:rPr>
          <w:rFonts w:hint="eastAsia" w:ascii="宋体" w:hAnsi="宋体"/>
          <w:b/>
          <w:color w:val="auto"/>
          <w:sz w:val="32"/>
          <w:szCs w:val="32"/>
          <w:highlight w:val="none"/>
          <w:lang w:val="en-US" w:eastAsia="zh-CN"/>
        </w:rPr>
        <w:t>技术标准及相关要求响应表</w:t>
      </w:r>
    </w:p>
    <w:bookmarkEnd w:id="0"/>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118"/>
        <w:gridCol w:w="3763"/>
        <w:gridCol w:w="1229"/>
        <w:gridCol w:w="1867"/>
      </w:tblGrid>
      <w:tr w14:paraId="5B1C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18" w:type="pct"/>
            <w:vAlign w:val="center"/>
          </w:tcPr>
          <w:p w14:paraId="0B59603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656" w:type="pct"/>
            <w:vAlign w:val="center"/>
          </w:tcPr>
          <w:p w14:paraId="2686DE05">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w:t>
            </w:r>
          </w:p>
        </w:tc>
        <w:tc>
          <w:tcPr>
            <w:tcW w:w="2208" w:type="pct"/>
            <w:vAlign w:val="center"/>
          </w:tcPr>
          <w:p w14:paraId="52CFAC46">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要求</w:t>
            </w:r>
          </w:p>
        </w:tc>
        <w:tc>
          <w:tcPr>
            <w:tcW w:w="721" w:type="pct"/>
            <w:vAlign w:val="center"/>
          </w:tcPr>
          <w:p w14:paraId="541FFF7A">
            <w:pPr>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是否偏离</w:t>
            </w:r>
          </w:p>
        </w:tc>
        <w:tc>
          <w:tcPr>
            <w:tcW w:w="1095" w:type="pct"/>
            <w:vAlign w:val="center"/>
          </w:tcPr>
          <w:p w14:paraId="35FEF284">
            <w:pPr>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08F7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Align w:val="center"/>
          </w:tcPr>
          <w:p w14:paraId="733D324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56" w:type="pct"/>
            <w:vAlign w:val="center"/>
          </w:tcPr>
          <w:p w14:paraId="333323BA">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材质要求</w:t>
            </w:r>
          </w:p>
        </w:tc>
        <w:tc>
          <w:tcPr>
            <w:tcW w:w="2208" w:type="pct"/>
            <w:vAlign w:val="center"/>
          </w:tcPr>
          <w:p w14:paraId="22729C9C">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sz w:val="21"/>
                <w:szCs w:val="21"/>
                <w:lang w:val="en-US" w:eastAsia="zh-CN"/>
              </w:rPr>
              <w:t>高密度聚乙烯PE材料，确保无毒无害，符合国家环保标准</w:t>
            </w:r>
          </w:p>
        </w:tc>
        <w:tc>
          <w:tcPr>
            <w:tcW w:w="721" w:type="pct"/>
            <w:vAlign w:val="center"/>
          </w:tcPr>
          <w:p w14:paraId="6EA22FB3">
            <w:pPr>
              <w:jc w:val="both"/>
              <w:rPr>
                <w:rFonts w:hint="eastAsia" w:ascii="宋体" w:hAnsi="宋体" w:eastAsia="宋体" w:cs="宋体"/>
                <w:sz w:val="21"/>
                <w:szCs w:val="21"/>
                <w:vertAlign w:val="baseline"/>
                <w:lang w:val="en-US" w:eastAsia="zh-CN"/>
              </w:rPr>
            </w:pPr>
          </w:p>
        </w:tc>
        <w:tc>
          <w:tcPr>
            <w:tcW w:w="1095" w:type="pct"/>
            <w:vAlign w:val="center"/>
          </w:tcPr>
          <w:p w14:paraId="2971755B">
            <w:pPr>
              <w:jc w:val="both"/>
              <w:rPr>
                <w:rFonts w:hint="eastAsia" w:ascii="宋体" w:hAnsi="宋体" w:eastAsia="宋体" w:cs="宋体"/>
                <w:sz w:val="21"/>
                <w:szCs w:val="21"/>
                <w:vertAlign w:val="baseline"/>
                <w:lang w:val="en-US" w:eastAsia="zh-CN"/>
              </w:rPr>
            </w:pPr>
          </w:p>
        </w:tc>
      </w:tr>
      <w:tr w14:paraId="142F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18" w:type="pct"/>
            <w:vAlign w:val="center"/>
          </w:tcPr>
          <w:p w14:paraId="5C51381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56" w:type="pct"/>
            <w:vAlign w:val="center"/>
          </w:tcPr>
          <w:p w14:paraId="5745DEA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规格要求</w:t>
            </w:r>
          </w:p>
        </w:tc>
        <w:tc>
          <w:tcPr>
            <w:tcW w:w="2208" w:type="pct"/>
            <w:vAlign w:val="center"/>
          </w:tcPr>
          <w:p w14:paraId="3629FE3B">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sz w:val="21"/>
                <w:szCs w:val="21"/>
                <w:lang w:val="en-US" w:eastAsia="zh-CN"/>
              </w:rPr>
              <w:t>尺寸为70cm×90cm，平均厚度不得低于0.1毫米。任何一处的厚度偏差需控制在±0.01毫米范围内。</w:t>
            </w:r>
          </w:p>
        </w:tc>
        <w:tc>
          <w:tcPr>
            <w:tcW w:w="721" w:type="pct"/>
            <w:vAlign w:val="center"/>
          </w:tcPr>
          <w:p w14:paraId="003AF473">
            <w:pPr>
              <w:jc w:val="both"/>
              <w:rPr>
                <w:rFonts w:hint="eastAsia" w:ascii="宋体" w:hAnsi="宋体" w:eastAsia="宋体" w:cs="宋体"/>
                <w:sz w:val="21"/>
                <w:szCs w:val="21"/>
                <w:vertAlign w:val="baseline"/>
              </w:rPr>
            </w:pPr>
          </w:p>
        </w:tc>
        <w:tc>
          <w:tcPr>
            <w:tcW w:w="1095" w:type="pct"/>
            <w:vAlign w:val="center"/>
          </w:tcPr>
          <w:p w14:paraId="331C234A">
            <w:pPr>
              <w:jc w:val="both"/>
              <w:rPr>
                <w:rFonts w:hint="eastAsia" w:ascii="宋体" w:hAnsi="宋体" w:eastAsia="宋体" w:cs="宋体"/>
                <w:sz w:val="21"/>
                <w:szCs w:val="21"/>
                <w:vertAlign w:val="baseline"/>
              </w:rPr>
            </w:pPr>
          </w:p>
        </w:tc>
      </w:tr>
      <w:tr w14:paraId="3E57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18" w:type="pct"/>
            <w:shd w:val="clear" w:color="auto" w:fill="auto"/>
            <w:vAlign w:val="center"/>
          </w:tcPr>
          <w:p w14:paraId="6051E80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656" w:type="pct"/>
            <w:shd w:val="clear" w:color="auto" w:fill="auto"/>
            <w:vAlign w:val="center"/>
          </w:tcPr>
          <w:p w14:paraId="3E64D36A">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颜色要求</w:t>
            </w:r>
          </w:p>
        </w:tc>
        <w:tc>
          <w:tcPr>
            <w:tcW w:w="2208" w:type="pct"/>
            <w:shd w:val="clear" w:color="auto" w:fill="auto"/>
            <w:vAlign w:val="center"/>
          </w:tcPr>
          <w:p w14:paraId="77D1D29E">
            <w:pPr>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i w:val="0"/>
                <w:iCs w:val="0"/>
                <w:sz w:val="21"/>
                <w:szCs w:val="21"/>
                <w:lang w:val="en-US" w:eastAsia="zh-CN"/>
              </w:rPr>
              <w:t>纯白色，表面平整、无污渍、无破损、无明显杂质。</w:t>
            </w:r>
          </w:p>
        </w:tc>
        <w:tc>
          <w:tcPr>
            <w:tcW w:w="721" w:type="pct"/>
            <w:shd w:val="clear" w:color="auto" w:fill="auto"/>
            <w:vAlign w:val="center"/>
          </w:tcPr>
          <w:p w14:paraId="111FF212">
            <w:pPr>
              <w:jc w:val="both"/>
              <w:rPr>
                <w:rFonts w:hint="eastAsia" w:ascii="宋体" w:hAnsi="宋体" w:eastAsia="宋体" w:cs="宋体"/>
                <w:kern w:val="2"/>
                <w:sz w:val="21"/>
                <w:szCs w:val="21"/>
                <w:vertAlign w:val="baseline"/>
                <w:lang w:val="en-US" w:eastAsia="zh-CN" w:bidi="ar-SA"/>
              </w:rPr>
            </w:pPr>
          </w:p>
        </w:tc>
        <w:tc>
          <w:tcPr>
            <w:tcW w:w="1095" w:type="pct"/>
            <w:shd w:val="clear" w:color="auto" w:fill="auto"/>
            <w:vAlign w:val="center"/>
          </w:tcPr>
          <w:p w14:paraId="15E18BB4">
            <w:pPr>
              <w:jc w:val="both"/>
              <w:rPr>
                <w:rFonts w:hint="eastAsia" w:ascii="宋体" w:hAnsi="宋体" w:eastAsia="宋体" w:cs="宋体"/>
                <w:kern w:val="2"/>
                <w:sz w:val="21"/>
                <w:szCs w:val="21"/>
                <w:vertAlign w:val="baseline"/>
                <w:lang w:val="en-US" w:eastAsia="zh-CN" w:bidi="ar-SA"/>
              </w:rPr>
            </w:pPr>
          </w:p>
        </w:tc>
      </w:tr>
      <w:tr w14:paraId="1FB8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18" w:type="pct"/>
            <w:shd w:val="clear" w:color="auto" w:fill="auto"/>
            <w:vAlign w:val="center"/>
          </w:tcPr>
          <w:p w14:paraId="1ED2F56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56" w:type="pct"/>
            <w:shd w:val="clear" w:color="auto" w:fill="auto"/>
            <w:vAlign w:val="center"/>
          </w:tcPr>
          <w:p w14:paraId="03481722">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质量要求</w:t>
            </w:r>
          </w:p>
        </w:tc>
        <w:tc>
          <w:tcPr>
            <w:tcW w:w="2208" w:type="pct"/>
            <w:shd w:val="clear" w:color="auto" w:fill="auto"/>
            <w:vAlign w:val="center"/>
          </w:tcPr>
          <w:p w14:paraId="4291C4D3">
            <w:pPr>
              <w:jc w:val="both"/>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符合国家相关质量标准以及民航行业对机舱保洁用品的特殊质量要求，确保在使用过程中不会释放有害化学物质，保障乘客与机组人员的健康安全。该材质需具备良好的化学稳定性，耐受常见的清洁剂、食物残渣等物质的侵蚀，不发生化学反应、变形或破损。</w:t>
            </w:r>
          </w:p>
        </w:tc>
        <w:tc>
          <w:tcPr>
            <w:tcW w:w="721" w:type="pct"/>
            <w:shd w:val="clear" w:color="auto" w:fill="auto"/>
            <w:vAlign w:val="center"/>
          </w:tcPr>
          <w:p w14:paraId="1E52C17D">
            <w:pPr>
              <w:jc w:val="both"/>
              <w:rPr>
                <w:rFonts w:hint="eastAsia" w:ascii="宋体" w:hAnsi="宋体" w:eastAsia="宋体" w:cs="宋体"/>
                <w:kern w:val="2"/>
                <w:sz w:val="21"/>
                <w:szCs w:val="21"/>
                <w:vertAlign w:val="baseline"/>
                <w:lang w:val="en-US" w:eastAsia="zh-CN" w:bidi="ar-SA"/>
              </w:rPr>
            </w:pPr>
          </w:p>
        </w:tc>
        <w:tc>
          <w:tcPr>
            <w:tcW w:w="1095" w:type="pct"/>
            <w:shd w:val="clear" w:color="auto" w:fill="auto"/>
            <w:vAlign w:val="center"/>
          </w:tcPr>
          <w:p w14:paraId="0EDC0986">
            <w:pPr>
              <w:jc w:val="both"/>
              <w:rPr>
                <w:rFonts w:hint="eastAsia" w:ascii="宋体" w:hAnsi="宋体" w:eastAsia="宋体" w:cs="宋体"/>
                <w:sz w:val="21"/>
                <w:szCs w:val="21"/>
                <w:vertAlign w:val="baseline"/>
                <w:lang w:val="en-US" w:eastAsia="zh-CN"/>
              </w:rPr>
            </w:pPr>
          </w:p>
        </w:tc>
      </w:tr>
      <w:tr w14:paraId="7E81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Align w:val="center"/>
          </w:tcPr>
          <w:p w14:paraId="36E5809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656" w:type="pct"/>
            <w:vAlign w:val="center"/>
          </w:tcPr>
          <w:p w14:paraId="6B0648A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卫生要求</w:t>
            </w:r>
          </w:p>
        </w:tc>
        <w:tc>
          <w:tcPr>
            <w:tcW w:w="2208" w:type="pct"/>
            <w:vAlign w:val="center"/>
          </w:tcPr>
          <w:p w14:paraId="60648C28">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袋内细菌数应符合相关规定，通常要求不能检出大肠杆菌呈阴性，以确保符合卫生标准，避免污染机舱环境；表面无灰尘、油污、杂志等污染物附着，成品密封包装。</w:t>
            </w:r>
          </w:p>
        </w:tc>
        <w:tc>
          <w:tcPr>
            <w:tcW w:w="721" w:type="pct"/>
            <w:vAlign w:val="center"/>
          </w:tcPr>
          <w:p w14:paraId="139172A2">
            <w:pPr>
              <w:numPr>
                <w:ilvl w:val="0"/>
                <w:numId w:val="0"/>
              </w:numPr>
              <w:jc w:val="both"/>
              <w:rPr>
                <w:rFonts w:hint="eastAsia" w:ascii="宋体" w:hAnsi="宋体" w:eastAsia="宋体" w:cs="宋体"/>
                <w:sz w:val="21"/>
                <w:szCs w:val="21"/>
                <w:vertAlign w:val="baseline"/>
                <w:lang w:val="en-US" w:eastAsia="zh-CN"/>
              </w:rPr>
            </w:pPr>
          </w:p>
        </w:tc>
        <w:tc>
          <w:tcPr>
            <w:tcW w:w="1095" w:type="pct"/>
            <w:vAlign w:val="center"/>
          </w:tcPr>
          <w:p w14:paraId="0B005DE1">
            <w:pPr>
              <w:numPr>
                <w:ilvl w:val="0"/>
                <w:numId w:val="0"/>
              </w:numPr>
              <w:jc w:val="both"/>
              <w:rPr>
                <w:rFonts w:hint="eastAsia" w:ascii="宋体" w:hAnsi="宋体" w:eastAsia="宋体" w:cs="宋体"/>
                <w:sz w:val="21"/>
                <w:szCs w:val="21"/>
                <w:vertAlign w:val="baseline"/>
                <w:lang w:val="en-US" w:eastAsia="zh-CN"/>
              </w:rPr>
            </w:pPr>
          </w:p>
        </w:tc>
      </w:tr>
      <w:tr w14:paraId="2FEE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8" w:type="pct"/>
            <w:vAlign w:val="center"/>
          </w:tcPr>
          <w:p w14:paraId="7AAB4AB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656" w:type="pct"/>
            <w:vAlign w:val="center"/>
          </w:tcPr>
          <w:p w14:paraId="1490E46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结算要求</w:t>
            </w:r>
          </w:p>
        </w:tc>
        <w:tc>
          <w:tcPr>
            <w:tcW w:w="2208" w:type="pct"/>
            <w:vAlign w:val="center"/>
          </w:tcPr>
          <w:p w14:paraId="41731FB6">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供货数量以采购人实际入库单为结算依据，按合同约定单价，按每季度结算一次。</w:t>
            </w:r>
          </w:p>
        </w:tc>
        <w:tc>
          <w:tcPr>
            <w:tcW w:w="721" w:type="pct"/>
            <w:vAlign w:val="center"/>
          </w:tcPr>
          <w:p w14:paraId="373F8B10">
            <w:pPr>
              <w:numPr>
                <w:ilvl w:val="0"/>
                <w:numId w:val="0"/>
              </w:numPr>
              <w:jc w:val="both"/>
              <w:rPr>
                <w:rFonts w:hint="default" w:ascii="仿宋_GB2312" w:hAnsi="宋体" w:eastAsia="仿宋_GB2312" w:cs="仿宋_GB2312"/>
                <w:i w:val="0"/>
                <w:iCs w:val="0"/>
                <w:color w:val="000000"/>
                <w:kern w:val="2"/>
                <w:sz w:val="24"/>
                <w:szCs w:val="24"/>
                <w:u w:val="none"/>
                <w:lang w:val="en-US" w:eastAsia="zh-CN" w:bidi="ar-SA"/>
              </w:rPr>
            </w:pPr>
          </w:p>
        </w:tc>
        <w:tc>
          <w:tcPr>
            <w:tcW w:w="1095" w:type="pct"/>
            <w:vAlign w:val="center"/>
          </w:tcPr>
          <w:p w14:paraId="78B4C8F1">
            <w:pPr>
              <w:numPr>
                <w:ilvl w:val="0"/>
                <w:numId w:val="0"/>
              </w:numPr>
              <w:jc w:val="both"/>
              <w:rPr>
                <w:rFonts w:hint="eastAsia" w:ascii="宋体" w:hAnsi="宋体" w:eastAsia="宋体" w:cs="宋体"/>
                <w:sz w:val="21"/>
                <w:szCs w:val="21"/>
                <w:vertAlign w:val="baseline"/>
                <w:lang w:val="en-US" w:eastAsia="zh-CN"/>
              </w:rPr>
            </w:pPr>
          </w:p>
        </w:tc>
      </w:tr>
      <w:tr w14:paraId="4EFB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8" w:type="pct"/>
            <w:vAlign w:val="center"/>
          </w:tcPr>
          <w:p w14:paraId="57E5886D">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656" w:type="pct"/>
            <w:vAlign w:val="center"/>
          </w:tcPr>
          <w:p w14:paraId="33806FFE">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项目违约</w:t>
            </w:r>
          </w:p>
        </w:tc>
        <w:tc>
          <w:tcPr>
            <w:tcW w:w="2208" w:type="pct"/>
            <w:vAlign w:val="center"/>
          </w:tcPr>
          <w:p w14:paraId="57B4E063">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选方交付的垃圾袋质量不符合采购人标准的，采购人有权拒收，且中选方应向采购人支付1000元的违约金，并免费更换合格的垃圾袋；若逾期交付，应向采购人偿付逾期交货部分货款总额的万分之五/天的违约金。</w:t>
            </w:r>
          </w:p>
        </w:tc>
        <w:tc>
          <w:tcPr>
            <w:tcW w:w="721" w:type="pct"/>
            <w:vAlign w:val="center"/>
          </w:tcPr>
          <w:p w14:paraId="53B3A601">
            <w:pPr>
              <w:numPr>
                <w:ilvl w:val="0"/>
                <w:numId w:val="0"/>
              </w:numPr>
              <w:jc w:val="both"/>
              <w:rPr>
                <w:rFonts w:hint="eastAsia" w:ascii="宋体" w:hAnsi="宋体" w:eastAsia="宋体" w:cs="宋体"/>
                <w:sz w:val="21"/>
                <w:szCs w:val="21"/>
                <w:vertAlign w:val="baseline"/>
                <w:lang w:val="en-US" w:eastAsia="zh-CN"/>
              </w:rPr>
            </w:pPr>
          </w:p>
        </w:tc>
        <w:tc>
          <w:tcPr>
            <w:tcW w:w="1095" w:type="pct"/>
            <w:vAlign w:val="center"/>
          </w:tcPr>
          <w:p w14:paraId="7C5CFB02">
            <w:pPr>
              <w:numPr>
                <w:ilvl w:val="0"/>
                <w:numId w:val="0"/>
              </w:numPr>
              <w:jc w:val="both"/>
              <w:rPr>
                <w:rFonts w:hint="default" w:ascii="宋体" w:hAnsi="宋体" w:eastAsia="宋体" w:cs="宋体"/>
                <w:sz w:val="21"/>
                <w:szCs w:val="21"/>
                <w:vertAlign w:val="baseline"/>
                <w:lang w:val="en-US" w:eastAsia="zh-CN"/>
              </w:rPr>
            </w:pPr>
          </w:p>
        </w:tc>
      </w:tr>
      <w:tr w14:paraId="0D12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8" w:type="pct"/>
            <w:vAlign w:val="center"/>
          </w:tcPr>
          <w:p w14:paraId="568BAF0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656" w:type="pct"/>
            <w:vAlign w:val="center"/>
          </w:tcPr>
          <w:p w14:paraId="76C704D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开票要求</w:t>
            </w:r>
          </w:p>
        </w:tc>
        <w:tc>
          <w:tcPr>
            <w:tcW w:w="2208" w:type="pct"/>
            <w:vAlign w:val="center"/>
          </w:tcPr>
          <w:p w14:paraId="0B0A427A">
            <w:pPr>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需提供增值税专用发票</w:t>
            </w:r>
          </w:p>
        </w:tc>
        <w:tc>
          <w:tcPr>
            <w:tcW w:w="721" w:type="pct"/>
            <w:vAlign w:val="center"/>
          </w:tcPr>
          <w:p w14:paraId="304A7897">
            <w:pPr>
              <w:numPr>
                <w:ilvl w:val="0"/>
                <w:numId w:val="0"/>
              </w:numPr>
              <w:jc w:val="both"/>
              <w:rPr>
                <w:rFonts w:hint="eastAsia" w:ascii="宋体" w:hAnsi="宋体" w:eastAsia="宋体" w:cs="宋体"/>
                <w:sz w:val="21"/>
                <w:szCs w:val="21"/>
                <w:vertAlign w:val="baseline"/>
                <w:lang w:val="en-US" w:eastAsia="zh-CN"/>
              </w:rPr>
            </w:pPr>
          </w:p>
        </w:tc>
        <w:tc>
          <w:tcPr>
            <w:tcW w:w="1095" w:type="pct"/>
            <w:vAlign w:val="center"/>
          </w:tcPr>
          <w:p w14:paraId="60732D7F">
            <w:pPr>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税率：</w:t>
            </w:r>
            <w:r>
              <w:rPr>
                <w:rFonts w:hint="eastAsia" w:ascii="仿宋_GB2312" w:hAnsi="宋体" w:eastAsia="仿宋_GB2312" w:cs="仿宋_GB2312"/>
                <w:i w:val="0"/>
                <w:iCs w:val="0"/>
                <w:color w:val="000000"/>
                <w:kern w:val="2"/>
                <w:sz w:val="24"/>
                <w:szCs w:val="24"/>
                <w:u w:val="none"/>
                <w:lang w:val="en-US" w:eastAsia="zh-CN" w:bidi="ar-SA"/>
              </w:rPr>
              <w:t>[ ]%</w:t>
            </w:r>
          </w:p>
        </w:tc>
      </w:tr>
    </w:tbl>
    <w:p w14:paraId="53CF6118">
      <w:pPr>
        <w:spacing w:line="360" w:lineRule="auto"/>
        <w:jc w:val="left"/>
        <w:rPr>
          <w:rFonts w:hint="default" w:ascii="宋体" w:hAnsi="宋体" w:eastAsiaTheme="minorEastAsia"/>
          <w:color w:val="auto"/>
          <w:sz w:val="22"/>
          <w:szCs w:val="22"/>
          <w:highlight w:val="none"/>
          <w:lang w:val="en-US" w:eastAsia="zh-CN"/>
        </w:rPr>
      </w:pPr>
      <w:r>
        <w:rPr>
          <w:rFonts w:hint="eastAsia" w:ascii="宋体" w:hAnsi="宋体"/>
          <w:color w:val="auto"/>
          <w:sz w:val="22"/>
          <w:szCs w:val="22"/>
          <w:highlight w:val="none"/>
          <w:lang w:val="en-US" w:eastAsia="zh-CN"/>
        </w:rPr>
        <w:t>注：以上要求不允许负偏离，若出现一处负偏离，视为符合性审查不通过。</w:t>
      </w:r>
    </w:p>
    <w:p w14:paraId="66B9E2F3">
      <w:pPr>
        <w:spacing w:line="360" w:lineRule="auto"/>
        <w:rPr>
          <w:rFonts w:hint="eastAsia" w:asciiTheme="minorEastAsia" w:hAnsiTheme="minorEastAsia" w:eastAsiaTheme="minorEastAsia" w:cstheme="minorEastAsia"/>
          <w:sz w:val="24"/>
          <w:szCs w:val="32"/>
          <w:lang w:val="en-US" w:eastAsia="zh-CN"/>
        </w:rPr>
      </w:pPr>
    </w:p>
    <w:p w14:paraId="5FB62CB7">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749E957D">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1E688A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D51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2025-08-19T06:39:49Z</dcterms:created>
  <dc:creator>Administrator</dc:creator>
  <cp:lastModifiedBy>✨eileen丹✨</cp:lastModifiedBy>
  <dcterms:modified xsi:type="dcterms:W3CDTF">2025-08-19T06:39:54Z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14ED947F692F4F8FA8F108B0D0BEB0C3_12</vt:lpwstr>
  </property>
</Properties>
</file>